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4E" w:rsidRDefault="0039354E" w:rsidP="004A5DF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CODE OF </w:t>
      </w:r>
      <w:r w:rsidR="00FF7ECF">
        <w:rPr>
          <w:b/>
          <w:bCs/>
          <w:color w:val="000000"/>
        </w:rPr>
        <w:t>CONDUCT</w:t>
      </w:r>
    </w:p>
    <w:p w:rsidR="0039354E" w:rsidRDefault="0039354E" w:rsidP="0039354E">
      <w:pPr>
        <w:jc w:val="both"/>
        <w:rPr>
          <w:b/>
          <w:bCs/>
          <w:color w:val="000000"/>
        </w:rPr>
      </w:pPr>
    </w:p>
    <w:p w:rsidR="0039354E" w:rsidRDefault="00FF7ECF" w:rsidP="0039354E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Seed Innovation and Protection Alliance (“Alliance”) </w:t>
      </w:r>
      <w:r w:rsidR="0039354E">
        <w:rPr>
          <w:b/>
          <w:bCs/>
          <w:color w:val="000000"/>
        </w:rPr>
        <w:t>supporting companies shall sustain and advance the integri</w:t>
      </w:r>
      <w:r>
        <w:rPr>
          <w:b/>
          <w:bCs/>
          <w:color w:val="000000"/>
        </w:rPr>
        <w:t xml:space="preserve">ty, honor, and prestige of the </w:t>
      </w:r>
      <w:r w:rsidR="0039354E">
        <w:rPr>
          <w:b/>
          <w:bCs/>
          <w:color w:val="000000"/>
        </w:rPr>
        <w:t>seed industry by:</w:t>
      </w:r>
    </w:p>
    <w:p w:rsidR="0039354E" w:rsidRDefault="0039354E" w:rsidP="0039354E">
      <w:pPr>
        <w:jc w:val="both"/>
        <w:rPr>
          <w:b/>
          <w:bCs/>
          <w:color w:val="000000"/>
        </w:rPr>
      </w:pPr>
      <w:bookmarkStart w:id="0" w:name="_GoBack"/>
      <w:bookmarkEnd w:id="0"/>
    </w:p>
    <w:p w:rsidR="0039354E" w:rsidRDefault="0039354E" w:rsidP="0039354E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Complying at all times with the </w:t>
      </w:r>
      <w:r w:rsidR="00FF7ECF">
        <w:rPr>
          <w:b/>
          <w:bCs/>
          <w:color w:val="000000"/>
        </w:rPr>
        <w:t>Alliance</w:t>
      </w:r>
      <w:r>
        <w:rPr>
          <w:b/>
          <w:bCs/>
          <w:color w:val="000000"/>
        </w:rPr>
        <w:t xml:space="preserve"> Antitrust Compliance Policy; </w:t>
      </w:r>
    </w:p>
    <w:p w:rsidR="0039354E" w:rsidRDefault="0039354E" w:rsidP="0039354E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Complying with federal, state and foreign laws relating to intellectual property rights in seed and seed technologies, including judicial interpretations of such laws;</w:t>
      </w:r>
    </w:p>
    <w:p w:rsidR="0039354E" w:rsidRDefault="0039354E" w:rsidP="0039354E">
      <w:pPr>
        <w:ind w:left="1440" w:hanging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3.           Honoring contracts between seed companies, suppliers, and customers involving the use and protection of intellectual property, including licensing agreements and agreements governing confidentiality and trade secrets;</w:t>
      </w:r>
    </w:p>
    <w:p w:rsidR="0039354E" w:rsidRDefault="0039354E" w:rsidP="0039354E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           Honoring all valid contracts involving the production, marketing, distribution, or sale</w:t>
      </w:r>
    </w:p>
    <w:p w:rsidR="0039354E" w:rsidRDefault="0039354E" w:rsidP="0039354E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proofErr w:type="gramStart"/>
      <w:r>
        <w:rPr>
          <w:b/>
          <w:bCs/>
          <w:color w:val="000000"/>
        </w:rPr>
        <w:t>of</w:t>
      </w:r>
      <w:proofErr w:type="gramEnd"/>
      <w:r>
        <w:rPr>
          <w:b/>
          <w:bCs/>
          <w:color w:val="000000"/>
        </w:rPr>
        <w:t xml:space="preserve"> seed; and</w:t>
      </w:r>
    </w:p>
    <w:p w:rsidR="0039354E" w:rsidRDefault="0039354E" w:rsidP="0039354E">
      <w:pPr>
        <w:ind w:left="1440" w:hanging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5.           Honoring agreements to arbitrate disputes involving the sale of seed, including agreements relating to the use of intellectual property, and abiding by all binding arbitration or judicial decisions thereof.      </w:t>
      </w:r>
    </w:p>
    <w:p w:rsidR="0039354E" w:rsidRDefault="0039354E" w:rsidP="0039354E">
      <w:pPr>
        <w:ind w:firstLine="720"/>
        <w:jc w:val="both"/>
        <w:rPr>
          <w:b/>
          <w:bCs/>
          <w:color w:val="000000"/>
        </w:rPr>
      </w:pPr>
    </w:p>
    <w:p w:rsidR="00781C29" w:rsidRPr="0039354E" w:rsidRDefault="0039354E" w:rsidP="00FF7ECF">
      <w:pPr>
        <w:ind w:firstLine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 determination that a supporting company has participated in conduct that is in </w:t>
      </w:r>
      <w:r w:rsidR="00FF7ECF">
        <w:rPr>
          <w:b/>
          <w:bCs/>
          <w:color w:val="000000"/>
        </w:rPr>
        <w:t>violation of this Code of Conduct</w:t>
      </w:r>
      <w:r>
        <w:rPr>
          <w:b/>
          <w:bCs/>
          <w:color w:val="000000"/>
        </w:rPr>
        <w:t xml:space="preserve"> may result in disciplinary action which may include public notification of the violation, a letter of reprimand or admonition, suspension of participation in </w:t>
      </w:r>
      <w:r w:rsidR="00FF7ECF">
        <w:rPr>
          <w:b/>
          <w:bCs/>
          <w:color w:val="000000"/>
        </w:rPr>
        <w:t>Alliance programs, expulsion from Alliance</w:t>
      </w:r>
      <w:r>
        <w:rPr>
          <w:b/>
          <w:bCs/>
          <w:color w:val="000000"/>
        </w:rPr>
        <w:t>, or such other sanction as the Board of Directors deems appropriate and in accordance with applicable laws.</w:t>
      </w:r>
    </w:p>
    <w:sectPr w:rsidR="00781C29" w:rsidRPr="00393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39" w:rsidRDefault="007D0A39" w:rsidP="0039354E">
      <w:r>
        <w:separator/>
      </w:r>
    </w:p>
  </w:endnote>
  <w:endnote w:type="continuationSeparator" w:id="0">
    <w:p w:rsidR="007D0A39" w:rsidRDefault="007D0A39" w:rsidP="0039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4E" w:rsidRDefault="003935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4E" w:rsidRDefault="003935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4E" w:rsidRDefault="00393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39" w:rsidRDefault="007D0A39" w:rsidP="0039354E">
      <w:r>
        <w:separator/>
      </w:r>
    </w:p>
  </w:footnote>
  <w:footnote w:type="continuationSeparator" w:id="0">
    <w:p w:rsidR="007D0A39" w:rsidRDefault="007D0A39" w:rsidP="00393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4E" w:rsidRDefault="003935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652162"/>
      <w:docPartObj>
        <w:docPartGallery w:val="Watermarks"/>
        <w:docPartUnique/>
      </w:docPartObj>
    </w:sdtPr>
    <w:sdtEndPr/>
    <w:sdtContent>
      <w:p w:rsidR="0039354E" w:rsidRDefault="004A5DF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4E" w:rsidRDefault="003935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2734E"/>
    <w:multiLevelType w:val="hybridMultilevel"/>
    <w:tmpl w:val="A86E026C"/>
    <w:lvl w:ilvl="0" w:tplc="5FCC8960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4E"/>
    <w:rsid w:val="0039354E"/>
    <w:rsid w:val="004A5DF8"/>
    <w:rsid w:val="00781C29"/>
    <w:rsid w:val="007D0A39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4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54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93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5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54E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4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54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93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5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54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BA61-3B8F-4F8B-819A-8DA65522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LaVigne</dc:creator>
  <cp:lastModifiedBy>Tera Fair</cp:lastModifiedBy>
  <cp:revision>2</cp:revision>
  <dcterms:created xsi:type="dcterms:W3CDTF">2014-09-15T14:42:00Z</dcterms:created>
  <dcterms:modified xsi:type="dcterms:W3CDTF">2014-09-15T14:42:00Z</dcterms:modified>
</cp:coreProperties>
</file>